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7"/>
      <w:bookmarkStart w:id="1" w:name="OLE_LINK6"/>
    </w:p>
    <w:bookmarkEnd w:id="0"/>
    <w:bookmarkEnd w:id="1"/>
    <w:p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吖啶橙染色液(1mg/ml)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产品简介：</w:t>
      </w:r>
    </w:p>
    <w:p>
      <w:pPr>
        <w:spacing w:line="300" w:lineRule="auto"/>
        <w:ind w:firstLine="440" w:firstLineChars="200"/>
        <w:jc w:val="both"/>
      </w:pPr>
      <w:r>
        <w:rPr>
          <w:rFonts w:hint="eastAsia"/>
        </w:rPr>
        <w:t>吖啶橙(Acridine Orange, AO)属于三环杂芳香燃料，是一种异染性荧光染料，可以用于DNA、RNA的标记。该染料利用膜通透性，透过细胞膜，将核DNA和RNA染色。因此AO常被用于细胞内DNA 和RNA的检测。AO与核酸结合方式主要有以下两种：1、静电吸引，带正电荷的AO能够单链核酸的磷酸根(带负电荷)产生静电间的吸引结合， AO与RNA的结合主要就是这种方式，荧光发射峰在结合后为640nm，激发后呈红色荧光，少量结合会呈桔红色荧光或桔黄色；2、插入性结合，AO与DNA的结合主要为这种结合方式，AO能够嵌入核酸双链的碱基对之间，其荧光发射峰为530nm，激发后呈绿色荧光。因此，当吖啶橙嵌合到双链 DNA 分子中时显绿色，而与单链DNA或RNA结合时发桔黄色或橙红色荧光。</w:t>
      </w:r>
    </w:p>
    <w:p>
      <w:pPr>
        <w:spacing w:line="300" w:lineRule="auto"/>
        <w:ind w:firstLine="440" w:firstLineChars="200"/>
        <w:jc w:val="both"/>
      </w:pPr>
      <w:r>
        <w:rPr>
          <w:rFonts w:hint="eastAsia"/>
        </w:rPr>
        <w:t>B</w:t>
      </w:r>
      <w:r>
        <w:t xml:space="preserve">IOISCO </w:t>
      </w:r>
      <w:r>
        <w:rPr>
          <w:rFonts w:hint="eastAsia"/>
        </w:rPr>
        <w:t>吖啶橙染色液(1mg/ml)为储存液并非实验时浓度，实验前应当先将储存液稀释到合适浓度后再使用。染色充分后利用荧光显微镜进行观察，吖啶橙可以利用膜通透性透过正常细胞膜，使细胞核呈均匀的绿色或黄绿色荧光；而在凋亡细胞中，因为染色质固缩或断裂，形成大小不等的凋亡小体。吖啶橙能够让其染上致密浓染的黄绿色荧光或黄绿色碎片颗粒；而坏死细胞发出的黄色荧光减弱甚至消失。吖啶橙染色常与溴化乙锭染色合用双染，因为溴化乙锭只能对死细胞进行染色使之产生桔黄色荧光，因此可利用这一区别分出正常细胞、凋亡细胞及坏死细胞。</w:t>
      </w:r>
    </w:p>
    <w:p>
      <w:pPr>
        <w:spacing w:line="300" w:lineRule="auto"/>
        <w:ind w:firstLine="440" w:firstLineChars="200"/>
        <w:jc w:val="both"/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组成：</w:t>
      </w:r>
    </w:p>
    <w:tbl>
      <w:tblPr>
        <w:tblStyle w:val="8"/>
        <w:tblW w:w="3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26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pct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产品名称</w:t>
            </w:r>
          </w:p>
        </w:tc>
        <w:tc>
          <w:tcPr>
            <w:tcW w:w="1404" w:type="pct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SNA001-100ml</w:t>
            </w:r>
          </w:p>
        </w:tc>
        <w:tc>
          <w:tcPr>
            <w:tcW w:w="1403" w:type="pct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</w:rPr>
              <w:t>S</w:t>
            </w:r>
            <w:r>
              <w:rPr>
                <w:rFonts w:ascii="Calibri" w:hAnsi="Calibri" w:eastAsia="宋体" w:cs="宋体"/>
                <w:sz w:val="21"/>
                <w:szCs w:val="21"/>
              </w:rPr>
              <w:t>torage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pct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Acridine Orange Stain(1mg/ml)</w:t>
            </w:r>
          </w:p>
        </w:tc>
        <w:tc>
          <w:tcPr>
            <w:tcW w:w="1404" w:type="pct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100ml</w:t>
            </w:r>
          </w:p>
        </w:tc>
        <w:tc>
          <w:tcPr>
            <w:tcW w:w="1403" w:type="pct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/>
                <w:bCs/>
              </w:rPr>
              <w:t>4℃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pct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说明书</w:t>
            </w:r>
          </w:p>
        </w:tc>
        <w:tc>
          <w:tcPr>
            <w:tcW w:w="2807" w:type="pct"/>
            <w:gridSpan w:val="2"/>
          </w:tcPr>
          <w:p>
            <w:pPr>
              <w:widowControl w:val="0"/>
              <w:spacing w:line="300" w:lineRule="auto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一份</w:t>
            </w:r>
          </w:p>
        </w:tc>
      </w:tr>
    </w:tbl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储存条件</w:t>
      </w:r>
      <w:r>
        <w:rPr>
          <w:rFonts w:hint="eastAsia"/>
          <w:b/>
          <w:bCs/>
        </w:rPr>
        <w:t>：</w:t>
      </w:r>
    </w:p>
    <w:p>
      <w:pPr>
        <w:spacing w:line="300" w:lineRule="auto"/>
        <w:jc w:val="both"/>
        <w:rPr>
          <w:bCs/>
        </w:rPr>
      </w:pPr>
      <w:r>
        <w:rPr>
          <w:rFonts w:hint="eastAsia"/>
          <w:bCs/>
        </w:rPr>
        <w:t>4℃避光保存，一年有效</w:t>
      </w:r>
    </w:p>
    <w:p>
      <w:pPr>
        <w:spacing w:line="300" w:lineRule="auto"/>
        <w:jc w:val="both"/>
        <w:rPr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自备材料：</w:t>
      </w:r>
    </w:p>
    <w:p>
      <w:pPr>
        <w:spacing w:line="300" w:lineRule="auto"/>
        <w:jc w:val="both"/>
      </w:pPr>
      <w:r>
        <w:rPr>
          <w:rFonts w:hint="eastAsia"/>
        </w:rPr>
        <w:t>1、 荧光显微镜</w:t>
      </w:r>
    </w:p>
    <w:p>
      <w:pPr>
        <w:spacing w:line="300" w:lineRule="auto"/>
        <w:jc w:val="both"/>
      </w:pPr>
      <w:r>
        <w:rPr>
          <w:rFonts w:hint="eastAsia"/>
        </w:rPr>
        <w:t>2、 载玻片、盖玻片</w:t>
      </w:r>
    </w:p>
    <w:p>
      <w:pPr>
        <w:spacing w:line="300" w:lineRule="auto"/>
        <w:jc w:val="both"/>
      </w:pPr>
      <w:r>
        <w:rPr>
          <w:rFonts w:hint="eastAsia"/>
        </w:rPr>
        <w:t>3、 PBS缓冲液</w:t>
      </w:r>
    </w:p>
    <w:p>
      <w:pPr>
        <w:spacing w:line="300" w:lineRule="auto"/>
        <w:jc w:val="both"/>
      </w:pPr>
      <w:r>
        <w:rPr>
          <w:rFonts w:hint="eastAsia"/>
        </w:rPr>
        <w:t>4、 细胞计数板</w:t>
      </w:r>
    </w:p>
    <w:p>
      <w:pPr>
        <w:spacing w:line="300" w:lineRule="auto"/>
        <w:jc w:val="both"/>
      </w:pPr>
      <w:r>
        <w:rPr>
          <w:rFonts w:hint="eastAsia"/>
        </w:rPr>
        <w:t>5、 低速离心机</w:t>
      </w:r>
    </w:p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操作步骤（仅供参考）：</w:t>
      </w:r>
    </w:p>
    <w:p>
      <w:pPr>
        <w:spacing w:line="300" w:lineRule="auto"/>
        <w:jc w:val="both"/>
      </w:pPr>
      <w:r>
        <w:rPr>
          <w:rFonts w:hint="eastAsia"/>
        </w:rPr>
        <w:t>1、 收集细胞(流式细胞仪检测时，须提前固定细胞)，用 PBS 清洗细胞，计数并调节细胞 浓度至 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/ml。</w:t>
      </w:r>
    </w:p>
    <w:p>
      <w:pPr>
        <w:spacing w:line="300" w:lineRule="auto"/>
        <w:jc w:val="both"/>
      </w:pPr>
      <w:r>
        <w:rPr>
          <w:rFonts w:hint="eastAsia"/>
        </w:rPr>
        <w:t>2、 取适量的细胞悬液，加入 Acridine Orange Stain(1mg/ml)，使 AO 终浓度为</w:t>
      </w:r>
      <w:r>
        <w:rPr>
          <w:rFonts w:hint="eastAsia"/>
          <w:lang w:val="en-US" w:eastAsia="zh-CN"/>
        </w:rPr>
        <w:t>8.5-17</w:t>
      </w:r>
      <w:r>
        <w:rPr>
          <w:rFonts w:hint="eastAsia"/>
        </w:rPr>
        <w:t>ug/ml，</w:t>
      </w:r>
    </w:p>
    <w:p>
      <w:pPr>
        <w:spacing w:line="300" w:lineRule="auto"/>
        <w:jc w:val="both"/>
      </w:pPr>
      <w:r>
        <w:rPr>
          <w:rFonts w:hint="eastAsia"/>
        </w:rPr>
        <w:t>3、 室温并避光染色，滴加于载玻片上并加盖玻片或采用流式细胞仪分析。</w:t>
      </w:r>
    </w:p>
    <w:p>
      <w:pPr>
        <w:spacing w:line="300" w:lineRule="auto"/>
        <w:jc w:val="both"/>
      </w:pPr>
      <w:r>
        <w:rPr>
          <w:rFonts w:hint="eastAsia"/>
        </w:rPr>
        <w:t>4、 荧光显微镜下观察(激发滤光片波长</w:t>
      </w:r>
      <w:r>
        <w:rPr>
          <w:rFonts w:hint="eastAsia"/>
          <w:lang w:val="en-US" w:eastAsia="zh-CN"/>
        </w:rPr>
        <w:t>488</w:t>
      </w:r>
      <w:r>
        <w:rPr>
          <w:rFonts w:hint="eastAsia"/>
        </w:rPr>
        <w:t>，阻断滤光片波长</w:t>
      </w:r>
      <w:r>
        <w:rPr>
          <w:rFonts w:hint="eastAsia"/>
          <w:lang w:val="en-US" w:eastAsia="zh-CN"/>
        </w:rPr>
        <w:t>515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)</w:t>
      </w:r>
      <w:r>
        <w:rPr>
          <w:rFonts w:hint="eastAsia"/>
        </w:rPr>
        <w:t>计数并拍照。</w:t>
      </w:r>
      <w:r>
        <w:rPr>
          <w:rFonts w:hint="eastAsia"/>
        </w:rPr>
        <w:tab/>
      </w:r>
    </w:p>
    <w:p>
      <w:pPr>
        <w:spacing w:line="300" w:lineRule="auto"/>
        <w:jc w:val="both"/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染色结果：</w:t>
      </w:r>
      <w:bookmarkStart w:id="2" w:name="_GoBack"/>
      <w:bookmarkEnd w:id="2"/>
    </w:p>
    <w:tbl>
      <w:tblPr>
        <w:tblStyle w:val="8"/>
        <w:tblW w:w="3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" w:type="pct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正常细胞</w:t>
            </w:r>
          </w:p>
        </w:tc>
        <w:tc>
          <w:tcPr>
            <w:tcW w:w="4078" w:type="pct"/>
            <w:shd w:val="clear" w:color="auto" w:fill="auto"/>
          </w:tcPr>
          <w:p>
            <w:pPr>
              <w:widowControl w:val="0"/>
              <w:spacing w:line="30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细胞被均匀染成黄绿色荧光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" w:type="pct"/>
            <w:shd w:val="clear" w:color="auto" w:fill="8EAADB" w:themeFill="accent1" w:themeFillTint="99"/>
          </w:tcPr>
          <w:p>
            <w:pPr>
              <w:widowControl w:val="0"/>
              <w:spacing w:line="30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凋亡细胞</w:t>
            </w:r>
          </w:p>
        </w:tc>
        <w:tc>
          <w:tcPr>
            <w:tcW w:w="4078" w:type="pct"/>
          </w:tcPr>
          <w:p>
            <w:pPr>
              <w:widowControl w:val="0"/>
              <w:spacing w:line="30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染色质浓缩，细胞核碎裂成点状，被染成大小不一、致密浓染的绿色颗粒</w:t>
            </w:r>
          </w:p>
        </w:tc>
      </w:tr>
    </w:tbl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注意事项：</w:t>
      </w:r>
    </w:p>
    <w:p>
      <w:pPr>
        <w:spacing w:line="300" w:lineRule="auto"/>
        <w:jc w:val="both"/>
      </w:pPr>
      <w:r>
        <w:rPr>
          <w:rFonts w:hint="eastAsia"/>
        </w:rPr>
        <w:t>1、 Acridine Orange Stain(1mg/ml)不含破膜剂，较少情况单独使用。</w:t>
      </w:r>
    </w:p>
    <w:p>
      <w:pPr>
        <w:spacing w:line="300" w:lineRule="auto"/>
        <w:jc w:val="both"/>
      </w:pPr>
      <w:r>
        <w:rPr>
          <w:rFonts w:hint="eastAsia"/>
        </w:rPr>
        <w:t>2、 吖啶橙染色常与 EB 染色合用，可区分出正常细胞、凋亡细胞及坏死细胞。</w:t>
      </w:r>
    </w:p>
    <w:p>
      <w:pPr>
        <w:spacing w:line="300" w:lineRule="auto"/>
        <w:jc w:val="both"/>
      </w:pPr>
      <w:r>
        <w:rPr>
          <w:rFonts w:hint="eastAsia"/>
        </w:rPr>
        <w:t>3、 如有低温离心机进行离心效果更佳。</w:t>
      </w:r>
    </w:p>
    <w:p>
      <w:pPr>
        <w:spacing w:line="300" w:lineRule="auto"/>
        <w:jc w:val="both"/>
      </w:pPr>
      <w:r>
        <w:rPr>
          <w:rFonts w:hint="eastAsia"/>
        </w:rPr>
        <w:t>4、 操作过程中应注意减少试剂暴露于强光下的时间。</w:t>
      </w:r>
    </w:p>
    <w:p>
      <w:pPr>
        <w:spacing w:line="300" w:lineRule="auto"/>
        <w:jc w:val="both"/>
      </w:pPr>
      <w:r>
        <w:rPr>
          <w:rFonts w:hint="eastAsia"/>
        </w:rPr>
        <w:t>5、 试剂及合用试剂均有一定毒性，请小心操作。</w:t>
      </w:r>
    </w:p>
    <w:p>
      <w:pPr>
        <w:spacing w:line="300" w:lineRule="auto"/>
        <w:jc w:val="both"/>
      </w:pPr>
      <w:r>
        <w:rPr>
          <w:rFonts w:hint="eastAsia"/>
        </w:rPr>
        <w:t>6、 为了您的安全和健康，请穿实验服并戴一次性手套操作。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7、本产品仅供科研使用，严禁它用。</w:t>
      </w:r>
    </w:p>
    <w:p/>
    <w:p>
      <w:pPr>
        <w:spacing w:line="300" w:lineRule="auto"/>
        <w:jc w:val="center"/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01516"/>
    <w:rsid w:val="0002705A"/>
    <w:rsid w:val="00046625"/>
    <w:rsid w:val="00046A29"/>
    <w:rsid w:val="00061A12"/>
    <w:rsid w:val="00065609"/>
    <w:rsid w:val="00067F0C"/>
    <w:rsid w:val="00070A39"/>
    <w:rsid w:val="0007769E"/>
    <w:rsid w:val="000A2268"/>
    <w:rsid w:val="000C3975"/>
    <w:rsid w:val="000E0AA4"/>
    <w:rsid w:val="00110B21"/>
    <w:rsid w:val="00135093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2E08"/>
    <w:rsid w:val="00254487"/>
    <w:rsid w:val="0028322B"/>
    <w:rsid w:val="00290511"/>
    <w:rsid w:val="00291F3B"/>
    <w:rsid w:val="002B4E1D"/>
    <w:rsid w:val="002B563F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81324"/>
    <w:rsid w:val="0039233F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41D94"/>
    <w:rsid w:val="0059651A"/>
    <w:rsid w:val="00596F26"/>
    <w:rsid w:val="00597624"/>
    <w:rsid w:val="005B3AA1"/>
    <w:rsid w:val="005C2053"/>
    <w:rsid w:val="005C2CDF"/>
    <w:rsid w:val="005C65BE"/>
    <w:rsid w:val="005C73E9"/>
    <w:rsid w:val="005D2452"/>
    <w:rsid w:val="005E6420"/>
    <w:rsid w:val="006001FF"/>
    <w:rsid w:val="00602655"/>
    <w:rsid w:val="00602834"/>
    <w:rsid w:val="006057E7"/>
    <w:rsid w:val="006107FB"/>
    <w:rsid w:val="006127C6"/>
    <w:rsid w:val="00615BF4"/>
    <w:rsid w:val="006444BE"/>
    <w:rsid w:val="00647371"/>
    <w:rsid w:val="00654E54"/>
    <w:rsid w:val="00660FFF"/>
    <w:rsid w:val="00686EB8"/>
    <w:rsid w:val="006979C7"/>
    <w:rsid w:val="006C36BA"/>
    <w:rsid w:val="006E35A0"/>
    <w:rsid w:val="006E720B"/>
    <w:rsid w:val="00703C5E"/>
    <w:rsid w:val="00705787"/>
    <w:rsid w:val="0072198F"/>
    <w:rsid w:val="007317E0"/>
    <w:rsid w:val="00731FE5"/>
    <w:rsid w:val="00742321"/>
    <w:rsid w:val="0076001E"/>
    <w:rsid w:val="00792D35"/>
    <w:rsid w:val="00797896"/>
    <w:rsid w:val="007A7197"/>
    <w:rsid w:val="007D0617"/>
    <w:rsid w:val="007D220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A3A8E"/>
    <w:rsid w:val="008B0916"/>
    <w:rsid w:val="008B443F"/>
    <w:rsid w:val="008D2AF1"/>
    <w:rsid w:val="008F1C51"/>
    <w:rsid w:val="008F4DA8"/>
    <w:rsid w:val="00903F7F"/>
    <w:rsid w:val="009070D8"/>
    <w:rsid w:val="00916E7F"/>
    <w:rsid w:val="00934A1F"/>
    <w:rsid w:val="00946BDC"/>
    <w:rsid w:val="00967DB9"/>
    <w:rsid w:val="00984FC7"/>
    <w:rsid w:val="00987C4A"/>
    <w:rsid w:val="009A12F0"/>
    <w:rsid w:val="009C47BB"/>
    <w:rsid w:val="009E20F4"/>
    <w:rsid w:val="009F0954"/>
    <w:rsid w:val="00A02F26"/>
    <w:rsid w:val="00A21E8B"/>
    <w:rsid w:val="00A27283"/>
    <w:rsid w:val="00A3426C"/>
    <w:rsid w:val="00A810E0"/>
    <w:rsid w:val="00A971DE"/>
    <w:rsid w:val="00AA36DC"/>
    <w:rsid w:val="00AB2AB9"/>
    <w:rsid w:val="00AB7874"/>
    <w:rsid w:val="00AD1704"/>
    <w:rsid w:val="00AF5339"/>
    <w:rsid w:val="00AF7B76"/>
    <w:rsid w:val="00B122AC"/>
    <w:rsid w:val="00B21D4F"/>
    <w:rsid w:val="00B26DF2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C3D16"/>
    <w:rsid w:val="00BE2EDD"/>
    <w:rsid w:val="00BF2675"/>
    <w:rsid w:val="00BF7DB5"/>
    <w:rsid w:val="00C01036"/>
    <w:rsid w:val="00C11776"/>
    <w:rsid w:val="00C21B6D"/>
    <w:rsid w:val="00C258EF"/>
    <w:rsid w:val="00C3133D"/>
    <w:rsid w:val="00C4131C"/>
    <w:rsid w:val="00C65C82"/>
    <w:rsid w:val="00C76D9E"/>
    <w:rsid w:val="00C876C5"/>
    <w:rsid w:val="00C91551"/>
    <w:rsid w:val="00C9425B"/>
    <w:rsid w:val="00CB1B54"/>
    <w:rsid w:val="00CD5E17"/>
    <w:rsid w:val="00CF1F52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25276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1F8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4CE06DB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6A3808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1072</Characters>
  <Lines>8</Lines>
  <Paragraphs>2</Paragraphs>
  <TotalTime>50</TotalTime>
  <ScaleCrop>false</ScaleCrop>
  <LinksUpToDate>false</LinksUpToDate>
  <CharactersWithSpaces>1258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2020-12-01T06:46:00Z</dcterms:created>
  <dc:creator>Li Tingting</dc:creator>
  <cp:lastModifiedBy>晨起絮飞</cp:lastModifiedBy>
  <cp:lastPrinted>2020-05-05T05:57:00Z</cp:lastPrinted>
  <dcterms:modified xsi:type="dcterms:W3CDTF">2021-07-27T02:52:41Z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3594EB7A4993449099C2B4F0A5C7A92F</vt:lpwstr>
  </property>
</Properties>
</file>